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e9c6423e43f35f0e930e6fd3467381dff360b3"/>
    <w:p>
      <w:pPr>
        <w:pStyle w:val="Heading3"/>
      </w:pPr>
      <w:r>
        <w:t xml:space="preserve">Иксодовый клещевой бореллиоз и его профилактика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drawing>
          <wp:inline>
            <wp:extent cx="5334000" cy="75374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chakovo.mos.ru/www/ilnews/img23.03.18-1/16764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74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chakovo.mos.ru/www/ilnews/img23.03.18-1/2амвав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http://ochakovo.mos.ru/presscenter/news-on-main/detail/7236924.html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chakovo.mos.ru" TargetMode="External" /><Relationship Type="http://schemas.openxmlformats.org/officeDocument/2006/relationships/hyperlink" Id="rId26" Target="http://ochakovo.mos.ru/presscenter/news-on-main/detail/7236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chakovo.mos.ru" TargetMode="External" /><Relationship Type="http://schemas.openxmlformats.org/officeDocument/2006/relationships/hyperlink" Id="rId26" Target="http://ochakovo.mos.ru/presscenter/news-on-main/detail/7236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2024-09-25T05:27:13Z</dcterms:created>
  <dcterms:modified xsi:type="dcterms:W3CDTF">2024-09-25T05:27:13Z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