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6370d9f817d3b255869e9a9c2d4d2ac6caa1095"/>
    <w:p>
      <w:pPr>
        <w:pStyle w:val="Heading3"/>
      </w:pPr>
      <w:r>
        <w:t xml:space="preserve">Гранулоцитарный анаплазмоз человека и его профилактика</w:t>
      </w:r>
    </w:p>
    <w:p>
      <w:pPr>
        <w:pStyle w:val="FirstParagraph"/>
      </w:pPr>
      <w:r>
        <w:t xml:space="preserve">03.04.2018</w:t>
      </w:r>
    </w:p>
    <w:p>
      <w:pPr>
        <w:pStyle w:val="BodyText"/>
      </w:pPr>
      <w:r>
        <w:drawing>
          <wp:inline>
            <wp:extent cx="5334000" cy="753746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ochakovo.mos.ru/www/ilnews/img23.03.18-1/12453243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374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537465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ochakovo.mos.ru/www/ilnews/img23.03.18-1/256344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374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http://ochakovo.mos.ru/presscenter/news-on-main/detail/7236893.html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Очаково-Матвеевское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ochakovo.mos.ru" TargetMode="External" /><Relationship Type="http://schemas.openxmlformats.org/officeDocument/2006/relationships/hyperlink" Id="rId26" Target="http://ochakovo.mos.ru/presscenter/news-on-main/detail/723689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ochakovo.mos.ru" TargetMode="External" /><Relationship Type="http://schemas.openxmlformats.org/officeDocument/2006/relationships/hyperlink" Id="rId26" Target="http://ochakovo.mos.ru/presscenter/news-on-main/detail/723689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2025-06-09T04:17:39Z</dcterms:created>
  <dcterms:modified xsi:type="dcterms:W3CDTF">2025-06-09T04:17:39Z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