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регитесь-малярии"/>
    <w:p>
      <w:pPr>
        <w:pStyle w:val="Heading3"/>
      </w:pPr>
      <w:r>
        <w:t xml:space="preserve">Берегитесь малярии!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rPr>
          <w:iCs/>
          <w:i/>
        </w:rPr>
        <w:t xml:space="preserve">Специалисты советуют при выезде в экзотические страны делать прививки от специфических инфекций</w:t>
      </w:r>
    </w:p>
    <w:p>
      <w:pPr>
        <w:pStyle w:val="BodyText"/>
      </w:pPr>
      <w:r>
        <w:t xml:space="preserve">В столице участились случаи заболевания малярией. По данным Управления Роспотребнадзора, за шесть месяцев 2016 года в Москве зарегистрирован 21 случай этой тропической болезни, что на 8 случаев больше аналогичного периода прошлого года. В Западном округе в первом полугодии зафиксировано 4 случая малярии. Все больные заразились, будучи на отдыхе в Индии и странах Африки. Прививку при выезде в экзотические страны туристы не делали.</w:t>
      </w:r>
    </w:p>
    <w:p>
      <w:pPr>
        <w:pStyle w:val="BodyText"/>
      </w:pPr>
      <w:r>
        <w:t xml:space="preserve">Чтобы избежать распространения заразы на территории Москвы, сотрудники Роспотребнадзора в весенне-летний период проводили надзорные мероприятия на водоемах и в местах массового отдыха. Так, с целью профилактики были обследованы зона отдыха «Мещерское», Мазиловский и Большой Очаковский пруды, Удальцовские пруды, декоративный пруд по ул. Вяземская, 26а, Центральный пруд на Боровском шоссе и ул. Вяземской, пруд на ул. Красных зорь. Также в соответствии с требованиями, установленными организацией дезинфекционного профиля ООО «Восточный грот», проводились регулярные ларвицидные обработки водоемов. Кроме того, пруды очищали от растительности и плавающего мусора.</w:t>
      </w:r>
    </w:p>
    <w:p>
      <w:pPr>
        <w:pStyle w:val="BodyText"/>
      </w:pPr>
      <w:r>
        <w:t xml:space="preserve">В целях обеспечения санитарно-эпидемиологического благополучия населения и профилактики малярии энтомологические обследования и качественная противоличиночная обработка водоемов Западного округа будет проводиться и в дальнейшем.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http://ochakovo.mos.ru/presscenter/news-on-main/detail/4067254.html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4067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4067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2024-09-25T05:28:52Z</dcterms:created>
  <dcterms:modified xsi:type="dcterms:W3CDTF">2024-09-25T05:28:52Z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