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09a00fcab94ccf62966b117f695495d7da715"/>
    <w:p>
      <w:pPr>
        <w:pStyle w:val="Heading3"/>
      </w:pPr>
      <w:r>
        <w:t xml:space="preserve">Акустическое загрязнение в мегаполисе: медико-санитарные аспекты и пути решения проблемы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Шумовое загрязнение в крупных городах стало одной из ключевых проблем санитарно-эпидемиологического благополучия населения. По данным Всемирной организации здравоохранения, постоянное воздействие городского шума является вторым по значимости экологическим фактором риска после загрязнения воздуха. В Москве более 60% жителей подвергаются воздействию шума, превышающего санитарные нормы.</w:t>
      </w:r>
    </w:p>
    <w:p>
      <w:pPr>
        <w:pStyle w:val="BodyText"/>
      </w:pPr>
      <w:r>
        <w:rPr>
          <w:bCs/>
          <w:b/>
        </w:rPr>
        <w:t xml:space="preserve">Основные источники акустического загрязнения:</w:t>
      </w:r>
    </w:p>
    <w:p>
      <w:pPr>
        <w:pStyle w:val="BodyText"/>
      </w:pPr>
      <w:r>
        <w:t xml:space="preserve">Транспортный шум (85% от общего уровня)</w:t>
      </w:r>
    </w:p>
    <w:p>
      <w:pPr>
        <w:pStyle w:val="BodyText"/>
      </w:pPr>
      <w:r>
        <w:t xml:space="preserve">Автомобильный транспорт остается главным источником шумового загрязнения. Интенсивность движения на основных магистралях Москвы создает уровень шума 70-80 дБА, что в 1,5-2 раза превышает санитарные нормы.</w:t>
      </w:r>
    </w:p>
    <w:p>
      <w:pPr>
        <w:pStyle w:val="BodyText"/>
      </w:pPr>
      <w:r>
        <w:t xml:space="preserve">Железнодорожный и авиационный транспорт формируют зоны акустического дискомфорта радиусом до 500 метров от источника.</w:t>
      </w:r>
    </w:p>
    <w:p>
      <w:pPr>
        <w:pStyle w:val="BodyText"/>
      </w:pPr>
      <w:r>
        <w:t xml:space="preserve">Промышленные и коммунальные объекты (10%)</w:t>
      </w:r>
    </w:p>
    <w:p>
      <w:pPr>
        <w:pStyle w:val="BodyText"/>
      </w:pPr>
      <w:r>
        <w:t xml:space="preserve">Предприятия пищевой промышленности, трансформаторные подстанции, котельные создают постоянный фоновый шум в жилых районах. Вентиляционные системы торговых центров часто нарушают акустический комфорт в прилегающих домах.</w:t>
      </w:r>
    </w:p>
    <w:p>
      <w:pPr>
        <w:pStyle w:val="BodyText"/>
      </w:pPr>
      <w:r>
        <w:t xml:space="preserve">Социально-бытовые источники (5%)</w:t>
      </w:r>
    </w:p>
    <w:p>
      <w:pPr>
        <w:pStyle w:val="BodyText"/>
      </w:pPr>
      <w:r>
        <w:t xml:space="preserve">Предприятия общественного питания, развлекательные заведения, строительно-ремонтные работы в жилых домах формируют локальные зоны повышенного шума.</w:t>
      </w:r>
    </w:p>
    <w:p>
      <w:pPr>
        <w:pStyle w:val="BodyText"/>
      </w:pPr>
      <w:r>
        <w:rPr>
          <w:bCs/>
          <w:b/>
        </w:rPr>
        <w:t xml:space="preserve">Медицинские аспекты воздействия шума:</w:t>
      </w:r>
    </w:p>
    <w:p>
      <w:pPr>
        <w:pStyle w:val="BodyText"/>
      </w:pPr>
      <w:r>
        <w:t xml:space="preserve">Согласно санитарным нормам СанПиН 1.2.3685-21, допустимый уровень шума в жилых помещениях не должен превышать 40 дБА в дневное время и 30 дБА в ночное. На территории жилой застройки эквивалентный уровень звука не должен превышать 55 дБА днем и 45 дБА ночью.</w:t>
      </w:r>
    </w:p>
    <w:p>
      <w:pPr>
        <w:pStyle w:val="BodyText"/>
      </w:pPr>
      <w:r>
        <w:t xml:space="preserve">Превышение этих норм приводит к серьезным нарушениям здоровья:</w:t>
      </w:r>
    </w:p>
    <w:p>
      <w:pPr>
        <w:pStyle w:val="BodyText"/>
      </w:pPr>
      <w:r>
        <w:t xml:space="preserve">• Нервная система: повышенная утомляемость, раздражительность, нарушения концентрации внимания</w:t>
      </w:r>
    </w:p>
    <w:p>
      <w:pPr>
        <w:pStyle w:val="BodyText"/>
      </w:pPr>
      <w:r>
        <w:t xml:space="preserve">• Сердечно-сосудистая система: артериальная гипертензия, ишемическая болезнь сердца</w:t>
      </w:r>
    </w:p>
    <w:p>
      <w:pPr>
        <w:pStyle w:val="BodyText"/>
      </w:pPr>
      <w:r>
        <w:t xml:space="preserve">• Эндокринная система: нарушение выработки кортизола, проблемы с щитовидной железой</w:t>
      </w:r>
    </w:p>
    <w:p>
      <w:pPr>
        <w:pStyle w:val="BodyText"/>
      </w:pPr>
      <w:r>
        <w:t xml:space="preserve">• Иммунная система: снижение резистентности к инфекционным заболеваниям</w:t>
      </w:r>
    </w:p>
    <w:p>
      <w:pPr>
        <w:pStyle w:val="BodyText"/>
      </w:pPr>
      <w:r>
        <w:t xml:space="preserve">Особую озабоченность вызывает влияние шума на детское население - у школьников отмечается снижение успеваемости на 15-20% при постоянном воздействии шума свыше 55 дБА.</w:t>
      </w:r>
    </w:p>
    <w:p>
      <w:pPr>
        <w:pStyle w:val="BodyText"/>
      </w:pPr>
      <w:r>
        <w:rPr>
          <w:bCs/>
          <w:b/>
        </w:rPr>
        <w:t xml:space="preserve">Меры санитарного контроля и надзора:</w:t>
      </w:r>
    </w:p>
    <w:p>
      <w:pPr>
        <w:pStyle w:val="BodyText"/>
      </w:pPr>
      <w:r>
        <w:t xml:space="preserve">Мониторинг акустической обстановки</w:t>
      </w:r>
    </w:p>
    <w:p>
      <w:pPr>
        <w:pStyle w:val="BodyText"/>
      </w:pPr>
      <w:r>
        <w:t xml:space="preserve">Контрольно-надзорная деятельность</w:t>
      </w:r>
    </w:p>
    <w:p>
      <w:pPr>
        <w:pStyle w:val="BodyText"/>
      </w:pPr>
      <w:r>
        <w:t xml:space="preserve">•Плановые проверки предприятий на соблюдение акустических норм</w:t>
      </w:r>
    </w:p>
    <w:p>
      <w:pPr>
        <w:pStyle w:val="BodyText"/>
      </w:pPr>
      <w:r>
        <w:t xml:space="preserve">• Внеплановые проверки по жалобам граждан</w:t>
      </w:r>
    </w:p>
    <w:p>
      <w:pPr>
        <w:pStyle w:val="BodyText"/>
      </w:pPr>
      <w:r>
        <w:t xml:space="preserve">• Выдача предписаний об устранении нарушений</w:t>
      </w:r>
    </w:p>
    <w:p>
      <w:pPr>
        <w:pStyle w:val="BodyText"/>
      </w:pPr>
      <w:r>
        <w:t xml:space="preserve">• Административное производство против нарушителей</w:t>
      </w:r>
    </w:p>
    <w:p>
      <w:pPr>
        <w:pStyle w:val="BodyText"/>
      </w:pPr>
      <w:r>
        <w:rPr>
          <w:bCs/>
          <w:b/>
        </w:rPr>
        <w:t xml:space="preserve">Практические рекомендации по снижению уровня шума</w:t>
      </w:r>
    </w:p>
    <w:p>
      <w:pPr>
        <w:pStyle w:val="BodyText"/>
      </w:pPr>
      <w:r>
        <w:rPr>
          <w:u w:val="single"/>
        </w:rPr>
        <w:t xml:space="preserve">Для управляющих компаний и ТСЖ:</w:t>
      </w:r>
    </w:p>
    <w:p>
      <w:pPr>
        <w:pStyle w:val="BodyText"/>
      </w:pPr>
      <w:r>
        <w:t xml:space="preserve">Звукоизоляция зданий:</w:t>
      </w:r>
    </w:p>
    <w:p>
      <w:pPr>
        <w:pStyle w:val="BodyText"/>
      </w:pPr>
      <w:r>
        <w:t xml:space="preserve">• Установка энергоэффективных окон с повышенной звукоизоляцией</w:t>
      </w:r>
    </w:p>
    <w:p>
      <w:pPr>
        <w:pStyle w:val="BodyText"/>
      </w:pPr>
      <w:r>
        <w:t xml:space="preserve">• Герметизация межпанельных швов специальными акустическими материалами</w:t>
      </w:r>
    </w:p>
    <w:p>
      <w:pPr>
        <w:pStyle w:val="BodyText"/>
      </w:pPr>
      <w:r>
        <w:t xml:space="preserve">• Замена входных дверей на модели с улучшенной звукоизоляцией</w:t>
      </w:r>
    </w:p>
    <w:p>
      <w:pPr>
        <w:pStyle w:val="BodyText"/>
      </w:pPr>
      <w:r>
        <w:t xml:space="preserve">Благоустройство территории:</w:t>
      </w:r>
    </w:p>
    <w:p>
      <w:pPr>
        <w:pStyle w:val="BodyText"/>
      </w:pPr>
      <w:r>
        <w:t xml:space="preserve">• Создание зеленых экранов из деревьев и кустарников (снижение шума на 5-10 дБА)</w:t>
      </w:r>
    </w:p>
    <w:p>
      <w:pPr>
        <w:pStyle w:val="BodyText"/>
      </w:pPr>
      <w:r>
        <w:t xml:space="preserve">• Использование шумопоглощающих материалов при устройстве дворовых покрытий</w:t>
      </w:r>
    </w:p>
    <w:p>
      <w:pPr>
        <w:pStyle w:val="BodyText"/>
      </w:pPr>
      <w:r>
        <w:rPr>
          <w:u w:val="single"/>
        </w:rPr>
        <w:t xml:space="preserve">Для жителей квартир:</w:t>
      </w:r>
    </w:p>
    <w:p>
      <w:pPr>
        <w:pStyle w:val="BodyText"/>
      </w:pPr>
      <w:r>
        <w:t xml:space="preserve">Внутренняя звукоизоляция:</w:t>
      </w:r>
    </w:p>
    <w:p>
      <w:pPr>
        <w:pStyle w:val="BodyText"/>
      </w:pPr>
      <w:r>
        <w:t xml:space="preserve">• Установка звукоизоляционных материалов на стены, граничащие с шумными помещениями</w:t>
      </w:r>
    </w:p>
    <w:p>
      <w:pPr>
        <w:pStyle w:val="BodyText"/>
      </w:pPr>
      <w:r>
        <w:t xml:space="preserve">• Использование плотных штор и ковровых покрытий для поглощения звука</w:t>
      </w:r>
    </w:p>
    <w:p>
      <w:pPr>
        <w:pStyle w:val="BodyText"/>
      </w:pPr>
      <w:r>
        <w:t xml:space="preserve">• Размещение мебели и бытовой техники с учетом акустических требований</w:t>
      </w:r>
    </w:p>
    <w:p>
      <w:pPr>
        <w:pStyle w:val="BodyText"/>
      </w:pPr>
      <w:r>
        <w:t xml:space="preserve">Режимные мероприятия:</w:t>
      </w:r>
    </w:p>
    <w:p>
      <w:pPr>
        <w:pStyle w:val="BodyText"/>
      </w:pPr>
      <w:r>
        <w:t xml:space="preserve">• Соблюдение "тихих часов" (с 23:00 до 7:00)</w:t>
      </w:r>
    </w:p>
    <w:p>
      <w:pPr>
        <w:pStyle w:val="BodyText"/>
      </w:pPr>
      <w:r>
        <w:t xml:space="preserve">• Использование наушников при прослушивании музыки</w:t>
      </w:r>
    </w:p>
    <w:p>
      <w:pPr>
        <w:pStyle w:val="BodyText"/>
      </w:pPr>
      <w:r>
        <w:t xml:space="preserve">• Своевременное обслуживание бытовой техники для снижения шума</w:t>
      </w:r>
    </w:p>
    <w:p>
      <w:pPr>
        <w:pStyle w:val="BodyText"/>
      </w:pPr>
      <w:r>
        <w:t xml:space="preserve">Алгоритм действий при нарушении акустических норм</w:t>
      </w:r>
    </w:p>
    <w:p>
      <w:pPr>
        <w:pStyle w:val="BodyText"/>
      </w:pPr>
      <w:r>
        <w:t xml:space="preserve">1. Документирование нарушения - фиксация времени, источника и характера шума</w:t>
      </w:r>
    </w:p>
    <w:p>
      <w:pPr>
        <w:pStyle w:val="BodyText"/>
      </w:pPr>
      <w:r>
        <w:t xml:space="preserve">2. Обращение к источнику шума - попытка досудебного урегулирования</w:t>
      </w:r>
    </w:p>
    <w:p>
      <w:pPr>
        <w:pStyle w:val="BodyText"/>
      </w:pPr>
      <w:r>
        <w:t xml:space="preserve">3. Подача заявления в Роспотребнадзор через единый портал госуслуг или лично</w:t>
      </w:r>
    </w:p>
    <w:p>
      <w:pPr>
        <w:pStyle w:val="BodyText"/>
      </w:pPr>
      <w:r>
        <w:t xml:space="preserve">4. Проведение инструментальных измерений специалистами аккредитованной лаборатории</w:t>
      </w:r>
    </w:p>
    <w:p>
      <w:pPr>
        <w:pStyle w:val="BodyText"/>
      </w:pPr>
      <w:r>
        <w:t xml:space="preserve">5. Принятие мер воздействия при подтверждении нарушений</w:t>
      </w:r>
    </w:p>
    <w:p>
      <w:pPr>
        <w:pStyle w:val="BodyText"/>
      </w:pPr>
      <w:r>
        <w:t xml:space="preserve">Заключение</w:t>
      </w:r>
    </w:p>
    <w:p>
      <w:pPr>
        <w:pStyle w:val="BodyText"/>
      </w:pPr>
      <w:r>
        <w:t xml:space="preserve">Проблема акустического загрязнения требует комплексного подхода с участием всех заинтересованных сторон. Эффективное решение возможно только при координации усилий органов власти, управляющих компаний и самих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http://ochakovo.mos.ru/presscenter/news-on-main/detail/13070019.html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3070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3070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2025-06-28T11:07:56Z</dcterms:created>
  <dcterms:modified xsi:type="dcterms:W3CDTF">2025-06-28T11:07:56Z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