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филактике-туберкулеза"/>
    <w:p>
      <w:pPr>
        <w:pStyle w:val="Heading3"/>
      </w:pPr>
      <w:r>
        <w:t xml:space="preserve">О профилактике туберкулеза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Актуальность проблемы туберкулеза для России не снижается уже многие-многие годы. Туберкулез – бактериальное инфекционное заболевание, которое наиболее часто поражает легкие, однако поражает практически все органы и системы человеческого организма, вариации проявлений заболевания настолько различные и потенциально тяжелые, что для его диагностики и лечения сформировалась целая медицинская дисциплина — фтизиатрия.</w:t>
      </w:r>
    </w:p>
    <w:p>
      <w:pPr>
        <w:pStyle w:val="BodyText"/>
      </w:pPr>
      <w:r>
        <w:t xml:space="preserve">Проблема туберкулеза актуальна не только в России, но и по всему миру, и 24 марта отмечается Всемирный день борьбы с туберкулезом. Данной инфекции подвержены абсолютно все люди вне зависимости от пола, возраста, географического положения, характера профессиональной деятельности, социального положения или достатка, однако туберкулез предотвратим и излечим, вовремя выявленный туберкулёз часто успешно лечится.</w:t>
      </w:r>
    </w:p>
    <w:p>
      <w:pPr>
        <w:pStyle w:val="BodyText"/>
      </w:pPr>
      <w:r>
        <w:t xml:space="preserve">Существуют специфические и неспецифические методы профилактики туберкулеза. На территории Российской Федерации утвержден Национальный календарь профилактических прививок, согласно которому для активной профилактики туберкулеза у новорождённых – проводится вакцинация БЦЖ вакциной в родильных домах и в прививочных кабинетах детских поликлиник, на 3-7 день жизни и ревакцинация в возрасте 7 лет. Эффективность вакцины БЦЖ проверена и доказана временем, обязательная вакцинация проводится с середины 20 века.</w:t>
      </w:r>
    </w:p>
    <w:p>
      <w:pPr>
        <w:pStyle w:val="BodyText"/>
      </w:pPr>
      <w:r>
        <w:t xml:space="preserve">Значимость и пользу вакцинопрофилактики туберкулеза у новорожденных переоценить очень сложно. Вакцина БЦЖ содержит ослабленный штамм (культуру клеток микобактерий) и не может вызвать туберкулёзную инфекцию. Да, вакцина БЦЖ (БЦЖ-М), к огромному сожалению, полностью не предупреждает развитие туберкулеза легких у человека, на протяжении всего жизненного пути, но предохраняет от опасных форм инфекции - туберкулёзного менингита (наиболее актуально для новорожденных) или диссеминированного туберкулёза.</w:t>
      </w:r>
    </w:p>
    <w:p>
      <w:pPr>
        <w:pStyle w:val="BodyText"/>
      </w:pPr>
      <w:r>
        <w:t xml:space="preserve">По оценкам ВОЗ (Всемирная организация здравоохранения), около четверти населения мира инфицировано бактериями туберкулеза. Туберкулез обычно чувствителен к антибиотикотерапии и успешно лечится, но в отсутствие лечения может привести к летальному исходу.</w:t>
      </w:r>
    </w:p>
    <w:p>
      <w:pPr>
        <w:pStyle w:val="BodyText"/>
      </w:pPr>
      <w:r>
        <w:t xml:space="preserve">Симптомы заболевания могут оставаться умеренными в течение длительного времени, заболевший не чувствует себя больным, но уже может являться источником инфекции, и заражать туберкулезом других людей, в первую очередь близкое окружение, не подозревая об этом. Повышенному риску подвергаются младенцы и дети.</w:t>
      </w:r>
    </w:p>
    <w:p>
      <w:pPr>
        <w:pStyle w:val="BodyText"/>
      </w:pPr>
      <w:r>
        <w:t xml:space="preserve">Также повышенному риску заболевания туберкулезом подвергаются люди, страдающие диабетом; имеющие ослабленную иммунную систему; страдающие от неполноценного питания; употребляющие курительную и табачную продукцию.</w:t>
      </w:r>
    </w:p>
    <w:p>
      <w:pPr>
        <w:pStyle w:val="BodyText"/>
      </w:pPr>
      <w:r>
        <w:t xml:space="preserve">Симптомы заболевания зависят от локализации инфекционного процесса в организме, наиболее распространенные симптомы туберкулеза легких:</w:t>
      </w:r>
    </w:p>
    <w:p>
      <w:pPr>
        <w:numPr>
          <w:ilvl w:val="0"/>
          <w:numId w:val="1001"/>
        </w:numPr>
        <w:pStyle w:val="Compact"/>
      </w:pPr>
      <w:r>
        <w:t xml:space="preserve">- длительный кашель (иногда с кровью),</w:t>
      </w:r>
    </w:p>
    <w:p>
      <w:pPr>
        <w:numPr>
          <w:ilvl w:val="0"/>
          <w:numId w:val="1001"/>
        </w:numPr>
        <w:pStyle w:val="Compact"/>
      </w:pPr>
      <w:r>
        <w:t xml:space="preserve">- боль в груди,</w:t>
      </w:r>
    </w:p>
    <w:p>
      <w:pPr>
        <w:numPr>
          <w:ilvl w:val="0"/>
          <w:numId w:val="1001"/>
        </w:numPr>
        <w:pStyle w:val="Compact"/>
      </w:pPr>
      <w:r>
        <w:t xml:space="preserve">- слабость,</w:t>
      </w:r>
    </w:p>
    <w:p>
      <w:pPr>
        <w:numPr>
          <w:ilvl w:val="0"/>
          <w:numId w:val="1001"/>
        </w:numPr>
        <w:pStyle w:val="Compact"/>
      </w:pPr>
      <w:r>
        <w:t xml:space="preserve">- повышенная утомляемость,</w:t>
      </w:r>
    </w:p>
    <w:p>
      <w:pPr>
        <w:numPr>
          <w:ilvl w:val="0"/>
          <w:numId w:val="1001"/>
        </w:numPr>
        <w:pStyle w:val="Compact"/>
      </w:pPr>
      <w:r>
        <w:t xml:space="preserve">- снижение массы тела,</w:t>
      </w:r>
    </w:p>
    <w:p>
      <w:pPr>
        <w:numPr>
          <w:ilvl w:val="0"/>
          <w:numId w:val="1001"/>
        </w:numPr>
        <w:pStyle w:val="Compact"/>
      </w:pPr>
      <w:r>
        <w:t xml:space="preserve">- лихорадка,</w:t>
      </w:r>
    </w:p>
    <w:p>
      <w:pPr>
        <w:numPr>
          <w:ilvl w:val="0"/>
          <w:numId w:val="1001"/>
        </w:numPr>
        <w:pStyle w:val="Compact"/>
      </w:pPr>
      <w:r>
        <w:t xml:space="preserve">- ночная потливость.</w:t>
      </w:r>
    </w:p>
    <w:p>
      <w:pPr>
        <w:pStyle w:val="FirstParagraph"/>
      </w:pPr>
      <w:r>
        <w:t xml:space="preserve">На территории Российской Федерации действует ряд законов, подзаконных и иных нормативно – правовых актов, которые определяют необходимость обследования на туберкулез с различной кратностью в зависимости от субъекта страны, замещения декретированных рабочих должностей, нахождения в различных учреждениях и т.д. Выявление больных туберкулезом проводится с помощью скрининговых периодических обследований населения (рентгенологические обследования органов грудной клетки у взрослых, иммунодиагностика у детей). Флюорография должна проводиться всем лицам старше 15 лет, не реже одного раза в два года, однако существуют декретированные группы населения, которым флюорография должна проводиться чаще – раз в год либо раз в полгода.</w:t>
      </w:r>
    </w:p>
    <w:p>
      <w:pPr>
        <w:pStyle w:val="BodyText"/>
      </w:pPr>
      <w:r>
        <w:t xml:space="preserve">Внутрикожную аллергическую пробу с туберкулином (проба Манту) проводят 1 раз в год всем вакцинированным детям начиная с 1 года до 7 лет, а также детям в возрасте от 8 до 14 лет не ревакцинированным против туберкулеза. Остальным детям в возрасте от 8 до 14 лет проводится проба с аллергеном туберкулезным рекомбинантным или invitro тесты. В некоторых случаях имеются показания к проведению проб Манту 2 раза в год.</w:t>
      </w:r>
    </w:p>
    <w:p>
      <w:pPr>
        <w:pStyle w:val="BodyText"/>
      </w:pPr>
      <w:r>
        <w:t xml:space="preserve">В целях раннего выявления туберкулёза у детей от 15 до 18 лет проводится плановая ежегодная туберкулинодиагностика совместно или чередующаяся с флюорографическим обследованием.</w:t>
      </w:r>
    </w:p>
    <w:p>
      <w:pPr>
        <w:pStyle w:val="BodyText"/>
      </w:pPr>
      <w:r>
        <w:t xml:space="preserve">Дети посещающие образовательные учреждения, с выявленным подозрением на туберкулез и не прошедшие туберкулиндиагностику отстраняются от посещения до предоставления заключения фтизиатра об отсутствии у ребенка заболевания туберкулезом.</w:t>
      </w:r>
    </w:p>
    <w:p>
      <w:pPr>
        <w:pStyle w:val="BodyText"/>
      </w:pPr>
      <w:r>
        <w:t xml:space="preserve">К неспецифическим методам профилактики туберкулеза относятся: мероприятия, повышающие защитные силы организма (рациональный режим труда и отдыха, правильное полноценное питание, отказ от курения и употребления алкоголя, закаливание, занятия физкультурой и др.); Меры, оздоравливающие жилищную и производственную среду (снижение скученности и запыленности помещений, соблюдение режима проветривания).</w:t>
      </w:r>
    </w:p>
    <w:p>
      <w:pPr>
        <w:pStyle w:val="BodyText"/>
      </w:pPr>
      <w:r>
        <w:t xml:space="preserve">Регулярное обследование – залог своевременного выявления туберкулеза и, в конечном итоге, первый шаг к выздоровлению.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http://ochakovo.mos.ru/presscenter/news-on-main/detail/12291468.html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291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291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2025-05-10T08:43:19Z</dcterms:created>
  <dcterms:modified xsi:type="dcterms:W3CDTF">2025-05-10T08:43:19Z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