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качество-и-безопасность-детских-товаров"/>
    <w:p>
      <w:pPr>
        <w:pStyle w:val="Heading3"/>
      </w:pPr>
      <w:r>
        <w:t xml:space="preserve">Качество и безопасность детских товаров</w:t>
      </w:r>
    </w:p>
    <w:p>
      <w:pPr>
        <w:pStyle w:val="FirstParagraph"/>
      </w:pPr>
      <w:r>
        <w:t xml:space="preserve">24.05.2023</w:t>
      </w:r>
    </w:p>
    <w:p>
      <w:pPr>
        <w:pStyle w:val="BodyText"/>
      </w:pPr>
      <w:r>
        <w:t xml:space="preserve">Требования к детским товарам определены Техническим регламентом Таможенного союза «О безопасности продукции, предназначенной для детей и подростков» (ТР ТС 007/2011) и Техническим регламентом Таможенного союза «О безопасности игрушек» (ТР ТС 008/2011). Данные технические регламенты распространяются на следующую продукцию для детей: одежда, изделия из текстильных материалов, кожи и меха, изделия трикотажные и готовые штучные текстильные изделия; обувь и кожгалантерейные изделия; изделия для ухода за детьми (соски молочные, соски-пустышки, посуда, столовые приборы, санитарно-гигиенические и галантерейные изделия, щетки зубные и массажеры для десен); коляски детские и велосипеды; издательская книжная и журнальная продукция, школьнописьменные принадлежности, игры и игрушки.</w:t>
      </w:r>
    </w:p>
    <w:p>
      <w:pPr>
        <w:pStyle w:val="BodyText"/>
      </w:pPr>
      <w:r>
        <w:t xml:space="preserve">Технические регламенты устанавливают обязательные требования безопасности к продукции, предназначенной для детей и подростков, по показателям химической, биологической, механической и термической безопасности в целях защиты жизни и здоровья детей и подростков, а также предупреждения действий, вводящих в заблуждение пользователей продукции.</w:t>
      </w:r>
    </w:p>
    <w:p>
      <w:pPr>
        <w:pStyle w:val="BodyText"/>
      </w:pPr>
      <w:r>
        <w:t xml:space="preserve">Продукция для детей и подростков выпускается в обращение на рынке при ее соответствии настоящим техническим регламентам, при этом она должна пройти процедуру обязательного подтверждения соответствия и должна быть маркирована единым знаком обращения продукции на рынке государств - членов Таможенного союза.</w:t>
      </w:r>
    </w:p>
    <w:p>
      <w:pPr>
        <w:pStyle w:val="BodyText"/>
      </w:pPr>
      <w:r>
        <w:t xml:space="preserve">Документом, подтверждающим соответствие продукции для детей требованиям технических регламентов, является декларация о соответствии или сертификат соответствия. Маркировка продукции должна быть достоверной, проверяемой, читаемой и доступной для осмотра и идентификации. На маркировке продукции, нанесенной на изделие (этикетку, упаковку), обязательно должна содержаться следующая информация на русском языке:</w:t>
      </w:r>
    </w:p>
    <w:p>
      <w:pPr>
        <w:pStyle w:val="BodyText"/>
      </w:pPr>
      <w:r>
        <w:t xml:space="preserve">• наименование страны, где изготовлена продукция;</w:t>
      </w:r>
    </w:p>
    <w:p>
      <w:pPr>
        <w:pStyle w:val="BodyText"/>
      </w:pPr>
      <w:r>
        <w:t xml:space="preserve">• наименование и местонахождение изготовителя (уполномоченного изготовителем лица), импортера, дистрибьютора;</w:t>
      </w:r>
    </w:p>
    <w:p>
      <w:pPr>
        <w:pStyle w:val="BodyText"/>
      </w:pPr>
      <w:r>
        <w:t xml:space="preserve">• наименование и вид (назначение) изделия;</w:t>
      </w:r>
    </w:p>
    <w:p>
      <w:pPr>
        <w:pStyle w:val="BodyText"/>
      </w:pPr>
      <w:r>
        <w:t xml:space="preserve">• дата изготовления;</w:t>
      </w:r>
    </w:p>
    <w:p>
      <w:pPr>
        <w:pStyle w:val="BodyText"/>
      </w:pPr>
      <w:r>
        <w:t xml:space="preserve">• единый знак обращения на рынке;</w:t>
      </w:r>
    </w:p>
    <w:p>
      <w:pPr>
        <w:pStyle w:val="BodyText"/>
      </w:pPr>
      <w:r>
        <w:t xml:space="preserve">• срок службы продукции (при необходимости);</w:t>
      </w:r>
    </w:p>
    <w:p>
      <w:pPr>
        <w:pStyle w:val="BodyText"/>
      </w:pPr>
      <w:r>
        <w:t xml:space="preserve">• гарантийный срок службы (при необходимости);</w:t>
      </w:r>
    </w:p>
    <w:p>
      <w:pPr>
        <w:pStyle w:val="BodyText"/>
      </w:pPr>
      <w:r>
        <w:t xml:space="preserve">• товарный знак (при наличии).</w:t>
      </w:r>
    </w:p>
    <w:p>
      <w:pPr>
        <w:pStyle w:val="BodyText"/>
      </w:pPr>
      <w:r>
        <w:t xml:space="preserve">При производстве одежды и обуви преимущество отдается натуральным материалам (шерсть, лен, хлопок, кожа).</w:t>
      </w:r>
    </w:p>
    <w:p>
      <w:pPr>
        <w:pStyle w:val="BodyText"/>
      </w:pPr>
      <w:r>
        <w:t xml:space="preserve">Ученические портфели и ранцы должны иметь фурнитуру со светоотражающими элементами, ранцы для детей младшего школьного возраста должны быть снабжены формоустойчивой спинкой.</w:t>
      </w:r>
    </w:p>
    <w:p>
      <w:pPr>
        <w:pStyle w:val="BodyText"/>
      </w:pPr>
      <w:r>
        <w:t xml:space="preserve">Резиновые изделия для ухода за детьми должны быть устойчивы к дезинфекции, сохранять вид и не слипаться.</w:t>
      </w:r>
    </w:p>
    <w:p>
      <w:pPr>
        <w:pStyle w:val="BodyText"/>
      </w:pPr>
      <w:r>
        <w:t xml:space="preserve">Посуда не должна иметь острых кромок и краев, быть термически устойчивой. Крепление ручек должны быть прочными. Изделия из металла должны быть стойкими к коррозии. Детские коляски должны быть устойчивыми на горизонтальной и наклонной плоскостях, иметь тормозную и блокировочную системы. Открытые коляски должны иметь устройства для предупреждения выпадения ребенка из коляски, спинка коляски должна быть формоустойчивой. Внешняя обивка закрытого кузова (или чехол) должна быть водонепроницаемой. Безопасность издательской продукции определяет качество бумаги, шрифтовое оформление в соответствии с возрастом пользователя.</w:t>
      </w:r>
    </w:p>
    <w:p>
      <w:pPr>
        <w:pStyle w:val="BodyText"/>
      </w:pPr>
      <w:r>
        <w:br/>
      </w:r>
    </w:p>
    <w:p>
      <w:pPr>
        <w:pStyle w:val="BodyText"/>
      </w:pPr>
      <w:r>
        <w:t xml:space="preserve">Адрес страницы:</w:t>
      </w:r>
      <w:r>
        <w:t xml:space="preserve"> </w:t>
      </w:r>
      <w:hyperlink r:id="rId20">
        <w:r>
          <w:rPr>
            <w:rStyle w:val="Hyperlink"/>
          </w:rPr>
          <w:t xml:space="preserve">http://ochakovo.mos.ru/presscenter/news-on-main/detail/11606326.html</w:t>
        </w:r>
      </w:hyperlink>
    </w:p>
    <w:p>
      <w:pPr>
        <w:pStyle w:val="BodyText"/>
      </w:pPr>
      <w:hyperlink r:id="rId21">
        <w:r>
          <w:rPr>
            <w:rStyle w:val="Hyperlink"/>
          </w:rPr>
          <w:t xml:space="preserve">Управа района Очаково-Матвеевское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chakovo.mos.ru" TargetMode="External" /><Relationship Type="http://schemas.openxmlformats.org/officeDocument/2006/relationships/hyperlink" Id="rId20" Target="http://ochakovo.mos.ru/presscenter/news-on-main/detail/11606326.html" TargetMode="External" /></Relationships>
</file>

<file path=word/_rels/footnotes.xml.rels><?xml version="1.0" encoding="UTF-8"?><Relationships xmlns="http://schemas.openxmlformats.org/package/2006/relationships"><Relationship Type="http://schemas.openxmlformats.org/officeDocument/2006/relationships/hyperlink" Id="rId21" Target="http://ochakovo.mos.ru" TargetMode="External" /><Relationship Type="http://schemas.openxmlformats.org/officeDocument/2006/relationships/hyperlink" Id="rId20" Target="http://ochakovo.mos.ru/presscenter/news-on-main/detail/1160632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2024-09-25T05:22:21Z</dcterms:created>
  <dcterms:modified xsi:type="dcterms:W3CDTF">2024-09-25T05:22:21Z</dcterms:modified>
</cp:coreProperties>
</file>

<file path=docProps/custom.xml><?xml version="1.0" encoding="utf-8"?>
<Properties xmlns="http://schemas.openxmlformats.org/officeDocument/2006/custom-properties" xmlns:vt="http://schemas.openxmlformats.org/officeDocument/2006/docPropsVTypes"/>
</file>