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244d07a8119f34a979a0ebecc58130f557afc1"/>
    <w:p>
      <w:pPr>
        <w:pStyle w:val="Heading3"/>
      </w:pPr>
      <w:r>
        <w:t xml:space="preserve">Председатель СК России поручил создать горячую линию для участников специальной военной операции, мобилизованных и членов их семей</w:t>
      </w:r>
    </w:p>
    <w:p>
      <w:pPr>
        <w:pStyle w:val="FirstParagraph"/>
      </w:pPr>
      <w:r>
        <w:t xml:space="preserve">13.12.2022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http://ochakovo.mos.ru/presscenter/news-on-main/detail/11287443.html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Очаково-Матвеевское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chakovo.mos.ru" TargetMode="External" /><Relationship Type="http://schemas.openxmlformats.org/officeDocument/2006/relationships/hyperlink" Id="rId20" Target="http://ochakovo.mos.ru/presscenter/news-on-main/detail/112874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chakovo.mos.ru" TargetMode="External" /><Relationship Type="http://schemas.openxmlformats.org/officeDocument/2006/relationships/hyperlink" Id="rId20" Target="http://ochakovo.mos.ru/presscenter/news-on-main/detail/112874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2024-10-03T08:29:06Z</dcterms:created>
  <dcterms:modified xsi:type="dcterms:W3CDTF">2024-10-03T08:29:06Z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